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02124"/>
          <w:sz w:val="24"/>
          <w:szCs w:val="24"/>
          <w:lang w:val="kk-KZ" w:eastAsia="ru-RU"/>
        </w:rPr>
      </w:pPr>
      <w:r>
        <w:rPr>
          <w:rFonts w:ascii="Times New Roman" w:hAnsi="Times New Roman" w:eastAsia="Times New Roman" w:cs="Times New Roman"/>
          <w:color w:val="202124"/>
          <w:sz w:val="24"/>
          <w:szCs w:val="24"/>
          <w:lang w:eastAsia="ru-RU"/>
        </w:rPr>
        <w:t>ә</w:t>
      </w:r>
      <w:r>
        <w:rPr>
          <w:rFonts w:ascii="Times New Roman" w:hAnsi="Times New Roman" w:eastAsia="Times New Roman" w:cs="Times New Roman"/>
          <w:color w:val="202124"/>
          <w:sz w:val="24"/>
          <w:szCs w:val="24"/>
          <w:lang w:val="kk-KZ" w:eastAsia="ru-RU"/>
        </w:rPr>
        <w:t>ль-Фараби атындағы Қазақ Ұлттық университеті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02124"/>
          <w:sz w:val="24"/>
          <w:szCs w:val="24"/>
          <w:lang w:val="kk-KZ" w:eastAsia="ru-RU"/>
        </w:rPr>
      </w:pPr>
      <w:r>
        <w:rPr>
          <w:rFonts w:ascii="Times New Roman" w:hAnsi="Times New Roman" w:eastAsia="Times New Roman" w:cs="Times New Roman"/>
          <w:color w:val="202124"/>
          <w:sz w:val="24"/>
          <w:szCs w:val="24"/>
          <w:lang w:val="kk-KZ" w:eastAsia="ru-RU"/>
        </w:rPr>
        <w:t>Биология және биотехнология факультеті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02124"/>
          <w:sz w:val="24"/>
          <w:szCs w:val="24"/>
          <w:lang w:val="kk-KZ" w:eastAsia="ru-RU"/>
        </w:rPr>
      </w:pPr>
      <w:r>
        <w:rPr>
          <w:rFonts w:ascii="Times New Roman" w:hAnsi="Times New Roman" w:eastAsia="Times New Roman" w:cs="Times New Roman"/>
          <w:color w:val="202124"/>
          <w:sz w:val="24"/>
          <w:szCs w:val="24"/>
          <w:lang w:val="kk-KZ" w:eastAsia="ru-RU"/>
        </w:rPr>
        <w:t>Биофизика, биомедицина және не</w:t>
      </w:r>
      <w:r>
        <w:rPr>
          <w:rFonts w:ascii="Times New Roman" w:hAnsi="Times New Roman" w:eastAsia="Times New Roman" w:cs="Times New Roman"/>
          <w:color w:val="202124"/>
          <w:sz w:val="24"/>
          <w:szCs w:val="24"/>
          <w:lang w:eastAsia="ru-RU"/>
        </w:rPr>
        <w:t>йроғылым</w:t>
      </w:r>
      <w:r>
        <w:rPr>
          <w:rFonts w:ascii="Times New Roman" w:hAnsi="Times New Roman" w:eastAsia="Times New Roman" w:cs="Times New Roman"/>
          <w:color w:val="202124"/>
          <w:sz w:val="24"/>
          <w:szCs w:val="24"/>
          <w:lang w:val="kk-KZ" w:eastAsia="ru-RU"/>
        </w:rPr>
        <w:t xml:space="preserve"> кафедрасы</w:t>
      </w:r>
    </w:p>
    <w:p>
      <w:pPr>
        <w:jc w:val="center"/>
        <w:rPr>
          <w:rFonts w:ascii="Times New Roman" w:hAnsi="Times New Roman" w:cs="Times New Roman"/>
          <w:sz w:val="24"/>
          <w:szCs w:val="24"/>
          <w:lang w:val="kk-KZ"/>
        </w:rPr>
      </w:pPr>
    </w:p>
    <w:p>
      <w:pPr>
        <w:jc w:val="center"/>
        <w:rPr>
          <w:rFonts w:ascii="Times New Roman" w:hAnsi="Times New Roman" w:cs="Times New Roman"/>
          <w:sz w:val="24"/>
          <w:szCs w:val="24"/>
          <w:lang w:val="kk-KZ"/>
        </w:rPr>
      </w:pPr>
    </w:p>
    <w:p>
      <w:pPr>
        <w:jc w:val="center"/>
        <w:rPr>
          <w:rFonts w:ascii="Times New Roman" w:hAnsi="Times New Roman" w:cs="Times New Roman"/>
          <w:sz w:val="24"/>
          <w:szCs w:val="24"/>
          <w:lang w:val="kk-KZ"/>
        </w:rPr>
      </w:pPr>
    </w:p>
    <w:p>
      <w:pPr>
        <w:jc w:val="center"/>
        <w:rPr>
          <w:rFonts w:ascii="Times New Roman" w:hAnsi="Times New Roman" w:cs="Times New Roman"/>
          <w:sz w:val="24"/>
          <w:szCs w:val="24"/>
          <w:lang w:val="kk-KZ"/>
        </w:rPr>
      </w:pPr>
    </w:p>
    <w:p>
      <w:pPr>
        <w:jc w:val="center"/>
        <w:rPr>
          <w:rFonts w:ascii="Times New Roman" w:hAnsi="Times New Roman" w:cs="Times New Roman"/>
          <w:sz w:val="24"/>
          <w:szCs w:val="24"/>
          <w:lang w:val="kk-KZ"/>
        </w:rPr>
      </w:pPr>
    </w:p>
    <w:p>
      <w:pPr>
        <w:pStyle w:val="8"/>
        <w:shd w:val="clear" w:color="auto" w:fill="FFFFFF" w:themeFill="background1"/>
        <w:jc w:val="center"/>
        <w:rPr>
          <w:rFonts w:ascii="Times New Roman" w:hAnsi="Times New Roman" w:cs="Times New Roman"/>
          <w:b/>
          <w:color w:val="202124"/>
          <w:lang w:val="kk-KZ"/>
        </w:rPr>
      </w:pPr>
      <w:r>
        <w:rPr>
          <w:rStyle w:val="21"/>
          <w:rFonts w:ascii="Times New Roman" w:hAnsi="Times New Roman" w:cs="Times New Roman"/>
          <w:b/>
          <w:color w:val="202124"/>
          <w:lang w:val="kk-KZ"/>
        </w:rPr>
        <w:t>ҚОРЫТЫНДЫ ЕМТИХАН БАҒДАРЛАМАСЫ</w:t>
      </w:r>
    </w:p>
    <w:p>
      <w:pPr>
        <w:pStyle w:val="3"/>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rPr>
        <w:t>«Фармакология</w:t>
      </w:r>
      <w:r>
        <w:rPr>
          <w:rFonts w:ascii="Times New Roman" w:hAnsi="Times New Roman" w:cs="Times New Roman"/>
          <w:color w:val="auto"/>
          <w:sz w:val="24"/>
          <w:szCs w:val="24"/>
        </w:rPr>
        <w:t>және фитотерапия негіздері</w:t>
      </w:r>
      <w:r>
        <w:rPr>
          <w:rFonts w:ascii="Times New Roman" w:hAnsi="Times New Roman" w:cs="Times New Roman"/>
          <w:color w:val="auto"/>
          <w:sz w:val="24"/>
          <w:szCs w:val="24"/>
        </w:rPr>
        <w:t>»</w:t>
      </w:r>
    </w:p>
    <w:p>
      <w:pPr>
        <w:keepNext w:val="0"/>
        <w:keepLines w:val="0"/>
        <w:widowControl/>
        <w:suppressLineNumbers w:val="0"/>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 xml:space="preserve">Специальность </w:t>
      </w:r>
      <w:r>
        <w:rPr>
          <w:rFonts w:hint="default" w:ascii="Times New Roman Regular" w:hAnsi="Times New Roman Regular" w:cs="Times New Roman Regular"/>
          <w:b/>
          <w:sz w:val="24"/>
          <w:szCs w:val="24"/>
          <w:lang w:val="en-US" w:eastAsia="zh-CN"/>
        </w:rPr>
        <w:t>6B05108-Биомедицина</w:t>
      </w:r>
    </w:p>
    <w:p>
      <w:pPr>
        <w:rPr>
          <w:rFonts w:ascii="Times New Roman" w:hAnsi="Times New Roman" w:cs="Times New Roman"/>
          <w:b/>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tbl>
      <w:tblPr>
        <w:tblStyle w:val="12"/>
        <w:tblW w:w="0" w:type="auto"/>
        <w:tblInd w:w="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1842"/>
      </w:tblGrid>
      <w:tr>
        <w:trPr>
          <w:trHeight w:val="316" w:hRule="atLeast"/>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Курс</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trPr>
          <w:trHeight w:val="316" w:hRule="atLeast"/>
        </w:trPr>
        <w:tc>
          <w:tcPr>
            <w:tcW w:w="255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Семестр</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trPr>
          <w:trHeight w:val="342" w:hRule="atLeast"/>
        </w:trPr>
        <w:tc>
          <w:tcPr>
            <w:tcW w:w="255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 xml:space="preserve">Кредит саны </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r>
      <w:tr>
        <w:trPr>
          <w:trHeight w:val="316" w:hRule="atLeast"/>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Дәріс</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trPr>
          <w:trHeight w:val="316" w:hRule="atLeast"/>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Семинар</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trPr>
          <w:trHeight w:val="316" w:hRule="atLeast"/>
        </w:trPr>
        <w:tc>
          <w:tcPr>
            <w:tcW w:w="255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ОБӨЖ</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bl>
    <w:p>
      <w:pPr>
        <w:jc w:val="both"/>
        <w:rPr>
          <w:rFonts w:ascii="Times New Roman" w:hAnsi="Times New Roman" w:cs="Times New Roman"/>
          <w:sz w:val="24"/>
          <w:szCs w:val="24"/>
          <w:lang w:val="kk-KZ"/>
        </w:rPr>
      </w:pPr>
    </w:p>
    <w:p>
      <w:pPr>
        <w:jc w:val="both"/>
        <w:rPr>
          <w:rFonts w:ascii="Times New Roman" w:hAnsi="Times New Roman" w:cs="Times New Roman"/>
          <w:sz w:val="24"/>
          <w:szCs w:val="24"/>
        </w:rPr>
      </w:pPr>
    </w:p>
    <w:p>
      <w:pPr>
        <w:pStyle w:val="6"/>
        <w:ind w:left="0"/>
        <w:jc w:val="center"/>
        <w:rPr>
          <w:b/>
        </w:rPr>
      </w:pPr>
    </w:p>
    <w:p>
      <w:pPr>
        <w:pStyle w:val="6"/>
        <w:ind w:left="0"/>
        <w:jc w:val="center"/>
        <w:rPr>
          <w:b/>
        </w:rPr>
      </w:pPr>
    </w:p>
    <w:p>
      <w:pPr>
        <w:pStyle w:val="6"/>
        <w:ind w:left="0"/>
        <w:jc w:val="center"/>
        <w:rPr>
          <w:b/>
        </w:rPr>
      </w:pPr>
    </w:p>
    <w:p>
      <w:pPr>
        <w:pStyle w:val="6"/>
        <w:ind w:left="0"/>
        <w:jc w:val="center"/>
        <w:rPr>
          <w:b/>
        </w:rPr>
      </w:pPr>
    </w:p>
    <w:p>
      <w:pPr>
        <w:pStyle w:val="6"/>
        <w:ind w:left="0"/>
        <w:jc w:val="center"/>
        <w:rPr>
          <w:b/>
        </w:rPr>
      </w:pPr>
      <w:r>
        <w:rPr>
          <w:b/>
        </w:rPr>
        <w:t>Алматы 202</w:t>
      </w:r>
      <w:r>
        <w:rPr>
          <w:b/>
        </w:rPr>
        <w:t>5</w:t>
      </w:r>
      <w:r>
        <w:rPr>
          <w:b/>
        </w:rPr>
        <w:t xml:space="preserve"> ж.</w:t>
      </w:r>
    </w:p>
    <w:p>
      <w:pPr>
        <w:rPr>
          <w:rFonts w:ascii="Times New Roman" w:hAnsi="Times New Roman" w:cs="Times New Roman"/>
          <w:sz w:val="24"/>
          <w:szCs w:val="24"/>
        </w:rPr>
      </w:pPr>
    </w:p>
    <w:p>
      <w:pPr>
        <w:pStyle w:val="8"/>
        <w:shd w:val="clear" w:color="auto" w:fill="FFFFFF" w:themeFill="background1"/>
        <w:rPr>
          <w:rFonts w:ascii="Times New Roman" w:hAnsi="Times New Roman" w:cs="Times New Roman"/>
          <w:color w:val="202124"/>
          <w:sz w:val="24"/>
          <w:szCs w:val="24"/>
        </w:rPr>
      </w:pPr>
      <w:r>
        <w:rPr>
          <w:rStyle w:val="21"/>
          <w:rFonts w:ascii="Times New Roman" w:hAnsi="Times New Roman" w:cs="Times New Roman"/>
          <w:color w:val="202124"/>
          <w:sz w:val="24"/>
          <w:szCs w:val="24"/>
          <w:lang w:val="kk-KZ"/>
        </w:rPr>
        <w:t xml:space="preserve">Пәннің қорытынды емтиханының бағдарламасын «6В05108 – Биомедицина» мамандығы бойынша жұмыс оқу жоспары негізінде </w:t>
      </w:r>
      <w:r>
        <w:rPr>
          <w:rStyle w:val="21"/>
          <w:rFonts w:ascii="Times New Roman" w:hAnsi="Times New Roman" w:cs="Times New Roman"/>
          <w:color w:val="202124"/>
          <w:sz w:val="24"/>
          <w:szCs w:val="24"/>
        </w:rPr>
        <w:t>PhD</w:t>
      </w:r>
      <w:r>
        <w:rPr>
          <w:rStyle w:val="21"/>
          <w:rFonts w:ascii="Times New Roman" w:hAnsi="Times New Roman" w:cs="Times New Roman"/>
          <w:color w:val="202124"/>
          <w:sz w:val="24"/>
          <w:szCs w:val="24"/>
          <w:lang w:val="kk-KZ"/>
        </w:rPr>
        <w:t xml:space="preserve">, </w:t>
      </w:r>
      <w:r>
        <w:rPr>
          <w:rStyle w:val="21"/>
          <w:rFonts w:ascii="Times New Roman" w:hAnsi="Times New Roman" w:cs="Times New Roman"/>
          <w:color w:val="202124"/>
          <w:sz w:val="24"/>
          <w:szCs w:val="24"/>
        </w:rPr>
        <w:t>Оқытушы</w:t>
      </w:r>
      <w:r>
        <w:rPr>
          <w:rStyle w:val="21"/>
          <w:rFonts w:ascii="Times New Roman" w:hAnsi="Times New Roman" w:cs="Times New Roman"/>
          <w:color w:val="202124"/>
          <w:sz w:val="24"/>
          <w:szCs w:val="24"/>
          <w:lang w:val="kk-KZ"/>
        </w:rPr>
        <w:t xml:space="preserve"> </w:t>
      </w:r>
      <w:r>
        <w:rPr>
          <w:rStyle w:val="21"/>
          <w:rFonts w:ascii="Times New Roman" w:hAnsi="Times New Roman" w:cs="Times New Roman"/>
          <w:color w:val="202124"/>
          <w:sz w:val="24"/>
          <w:szCs w:val="24"/>
        </w:rPr>
        <w:t>Сырайыл С</w:t>
      </w:r>
      <w:r>
        <w:rPr>
          <w:rStyle w:val="21"/>
          <w:rFonts w:ascii="Times New Roman" w:hAnsi="Times New Roman" w:cs="Times New Roman"/>
          <w:color w:val="202124"/>
          <w:sz w:val="24"/>
          <w:szCs w:val="24"/>
          <w:lang w:val="kk-KZ"/>
        </w:rPr>
        <w:t>. құрастырған.</w:t>
      </w:r>
    </w:p>
    <w:p>
      <w:pPr>
        <w:pStyle w:val="6"/>
        <w:ind w:left="0"/>
        <w:jc w:val="both"/>
      </w:pPr>
    </w:p>
    <w:p>
      <w:pPr>
        <w:ind w:firstLine="402"/>
        <w:jc w:val="both"/>
        <w:rPr>
          <w:rFonts w:ascii="Times New Roman" w:hAnsi="Times New Roman" w:cs="Times New Roman"/>
          <w:sz w:val="24"/>
          <w:szCs w:val="24"/>
        </w:rPr>
      </w:pPr>
    </w:p>
    <w:p>
      <w:pPr>
        <w:pStyle w:val="8"/>
        <w:shd w:val="clear" w:color="auto" w:fill="FFFFFF" w:themeFill="background1"/>
        <w:rPr>
          <w:rFonts w:ascii="Times New Roman" w:hAnsi="Times New Roman" w:cs="Times New Roman"/>
          <w:color w:val="202124"/>
          <w:sz w:val="24"/>
          <w:szCs w:val="24"/>
        </w:rPr>
      </w:pPr>
      <w:r>
        <w:rPr>
          <w:rStyle w:val="21"/>
          <w:rFonts w:ascii="Times New Roman" w:hAnsi="Times New Roman" w:cs="Times New Roman"/>
          <w:color w:val="202124"/>
          <w:sz w:val="24"/>
          <w:szCs w:val="24"/>
          <w:lang w:val="kk-KZ"/>
        </w:rPr>
        <w:t>Биофизика, биомедицина және не</w:t>
      </w:r>
      <w:r>
        <w:rPr>
          <w:rStyle w:val="21"/>
          <w:rFonts w:ascii="Times New Roman" w:hAnsi="Times New Roman" w:cs="Times New Roman"/>
          <w:color w:val="202124"/>
          <w:sz w:val="24"/>
          <w:szCs w:val="24"/>
        </w:rPr>
        <w:t>йроғылым</w:t>
      </w:r>
      <w:r>
        <w:rPr>
          <w:rStyle w:val="21"/>
          <w:rFonts w:ascii="Times New Roman" w:hAnsi="Times New Roman" w:cs="Times New Roman"/>
          <w:color w:val="202124"/>
          <w:sz w:val="24"/>
          <w:szCs w:val="24"/>
          <w:lang w:val="kk-KZ"/>
        </w:rPr>
        <w:t xml:space="preserve"> кафедрасының мәжілісінде қаралды және ұсынылды</w:t>
      </w:r>
    </w:p>
    <w:p>
      <w:pPr>
        <w:jc w:val="both"/>
        <w:rPr>
          <w:rFonts w:ascii="Times New Roman" w:hAnsi="Times New Roman" w:cs="Times New Roman"/>
          <w:sz w:val="24"/>
          <w:szCs w:val="24"/>
        </w:rPr>
      </w:pPr>
      <w:r>
        <w:rPr>
          <w:rFonts w:ascii="Times New Roman" w:hAnsi="Times New Roman" w:cs="Times New Roman"/>
          <w:sz w:val="24"/>
          <w:szCs w:val="24"/>
        </w:rPr>
        <w:t>Протокол №</w:t>
      </w:r>
      <w:r>
        <w:rPr>
          <w:rFonts w:ascii="Times New Roman" w:hAnsi="Times New Roman" w:cs="Times New Roman"/>
          <w:sz w:val="24"/>
          <w:szCs w:val="24"/>
        </w:rPr>
        <w:t>22</w:t>
      </w:r>
      <w:r>
        <w:rPr>
          <w:rFonts w:ascii="Times New Roman" w:hAnsi="Times New Roman" w:cs="Times New Roman"/>
          <w:sz w:val="24"/>
          <w:szCs w:val="24"/>
        </w:rPr>
        <w:t xml:space="preserve">   «</w:t>
      </w:r>
      <w:r>
        <w:rPr>
          <w:rFonts w:ascii="Times New Roman" w:hAnsi="Times New Roman" w:cs="Times New Roman"/>
          <w:sz w:val="24"/>
          <w:szCs w:val="24"/>
        </w:rPr>
        <w:t>20</w:t>
      </w:r>
      <w:r>
        <w:rPr>
          <w:rFonts w:ascii="Times New Roman" w:hAnsi="Times New Roman" w:cs="Times New Roman"/>
          <w:sz w:val="24"/>
          <w:szCs w:val="24"/>
        </w:rPr>
        <w:t xml:space="preserve">» </w:t>
      </w:r>
      <w:r>
        <w:rPr>
          <w:rFonts w:ascii="Times New Roman" w:hAnsi="Times New Roman" w:cs="Times New Roman"/>
          <w:sz w:val="24"/>
          <w:szCs w:val="24"/>
          <w:lang w:val="kk-KZ"/>
        </w:rPr>
        <w:t>0</w:t>
      </w:r>
      <w:r>
        <w:rPr>
          <w:rFonts w:ascii="Times New Roman" w:hAnsi="Times New Roman" w:cs="Times New Roman"/>
          <w:sz w:val="24"/>
          <w:szCs w:val="24"/>
        </w:rPr>
        <w:t>5</w:t>
      </w:r>
      <w:r>
        <w:rPr>
          <w:rFonts w:ascii="Times New Roman" w:hAnsi="Times New Roman" w:cs="Times New Roman"/>
          <w:sz w:val="24"/>
          <w:szCs w:val="24"/>
        </w:rPr>
        <w:t xml:space="preserve">    202</w:t>
      </w:r>
      <w:r>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lang w:val="kk-KZ"/>
        </w:rPr>
        <w:t>ж</w:t>
      </w:r>
      <w:r>
        <w:rPr>
          <w:rFonts w:ascii="Times New Roman" w:hAnsi="Times New Roman" w:cs="Times New Roman"/>
          <w:sz w:val="24"/>
          <w:szCs w:val="24"/>
        </w:rPr>
        <w:t>.</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Кафедр</w:t>
      </w:r>
      <w:r>
        <w:rPr>
          <w:rFonts w:ascii="Times New Roman" w:hAnsi="Times New Roman" w:cs="Times New Roman"/>
          <w:sz w:val="24"/>
          <w:szCs w:val="24"/>
          <w:lang w:val="kk-KZ"/>
        </w:rPr>
        <w:t>а меңгерушісі</w:t>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1656080" cy="1343025"/>
            <wp:effectExtent l="19050" t="0" r="952" b="0"/>
            <wp:docPr id="1" name="Рисунок 1" descr="C:\Users\Admin\Desktop\IMG-20221012-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Admin\Desktop\IMG-20221012-WA0008.jpg"/>
                    <pic:cNvPicPr>
                      <a:picLocks noChangeAspect="1" noChangeArrowheads="1"/>
                    </pic:cNvPicPr>
                  </pic:nvPicPr>
                  <pic:blipFill>
                    <a:blip r:embed="rId4" cstate="print"/>
                    <a:srcRect/>
                    <a:stretch>
                      <a:fillRect/>
                    </a:stretch>
                  </pic:blipFill>
                  <pic:spPr>
                    <a:xfrm>
                      <a:off x="0" y="0"/>
                      <a:ext cx="1656398" cy="1343025"/>
                    </a:xfrm>
                    <a:prstGeom prst="rect">
                      <a:avLst/>
                    </a:prstGeom>
                    <a:noFill/>
                    <a:ln w="9525">
                      <a:noFill/>
                      <a:miter lim="800000"/>
                      <a:headEnd/>
                      <a:tailEnd/>
                    </a:ln>
                  </pic:spPr>
                </pic:pic>
              </a:graphicData>
            </a:graphic>
          </wp:inline>
        </w:drawing>
      </w:r>
      <w:r>
        <w:rPr>
          <w:rFonts w:ascii="Times New Roman" w:hAnsi="Times New Roman" w:cs="Times New Roman"/>
          <w:sz w:val="24"/>
          <w:szCs w:val="24"/>
        </w:rPr>
        <w:t>Кустубаева А.М.</w:t>
      </w:r>
    </w:p>
    <w:p>
      <w:pPr>
        <w:ind w:firstLine="720"/>
        <w:jc w:val="cente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pStyle w:val="3"/>
        <w:ind w:firstLine="402"/>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0"/>
          <w:szCs w:val="20"/>
        </w:rPr>
      </w:pPr>
    </w:p>
    <w:p>
      <w:pPr>
        <w:pStyle w:val="8"/>
        <w:shd w:val="clear" w:color="auto" w:fill="FFFFFF" w:themeFill="background1"/>
        <w:rPr>
          <w:rFonts w:ascii="Times New Roman" w:hAnsi="Times New Roman" w:cs="Times New Roman"/>
          <w:color w:val="202124"/>
        </w:rPr>
      </w:pPr>
      <w:r>
        <w:rPr>
          <w:rFonts w:ascii="Times New Roman" w:hAnsi="Times New Roman" w:cs="Times New Roman"/>
        </w:rPr>
        <w:t xml:space="preserve">1. </w:t>
      </w:r>
      <w:r>
        <w:rPr>
          <w:rStyle w:val="21"/>
          <w:rFonts w:ascii="Times New Roman" w:hAnsi="Times New Roman" w:cs="Times New Roman"/>
          <w:color w:val="202124"/>
          <w:lang w:val="kk-KZ"/>
        </w:rPr>
        <w:t>Емтихан формасы</w:t>
      </w:r>
    </w:p>
    <w:p>
      <w:pPr>
        <w:shd w:val="clear" w:color="auto" w:fill="FFFFFF" w:themeFill="background1"/>
        <w:spacing w:after="0" w:line="240" w:lineRule="auto"/>
        <w:rPr>
          <w:rFonts w:ascii="Times New Roman" w:hAnsi="Times New Roman" w:cs="Times New Roman"/>
          <w:sz w:val="20"/>
          <w:szCs w:val="20"/>
        </w:rPr>
      </w:pPr>
    </w:p>
    <w:p>
      <w:pPr>
        <w:pStyle w:val="8"/>
        <w:shd w:val="clear" w:color="auto" w:fill="FFFFFF" w:themeFill="background1"/>
        <w:rPr>
          <w:rStyle w:val="21"/>
          <w:rFonts w:ascii="Times New Roman" w:hAnsi="Times New Roman" w:cs="Times New Roman"/>
          <w:color w:val="202124"/>
          <w:lang w:val="kk-KZ"/>
        </w:rPr>
      </w:pPr>
      <w:r>
        <w:rPr>
          <w:rStyle w:val="21"/>
          <w:rFonts w:ascii="Times New Roman" w:hAnsi="Times New Roman" w:cs="Times New Roman"/>
          <w:color w:val="202124"/>
          <w:lang w:val="kk-KZ"/>
        </w:rPr>
        <w:t>Емтихан нысаны – IS Univer жүйесіндегі сынақтар.</w:t>
      </w:r>
    </w:p>
    <w:p>
      <w:pPr>
        <w:pStyle w:val="8"/>
        <w:shd w:val="clear" w:color="auto" w:fill="FFFFFF" w:themeFill="background1"/>
        <w:rPr>
          <w:rFonts w:ascii="Times New Roman" w:hAnsi="Times New Roman" w:cs="Times New Roman"/>
          <w:color w:val="202124"/>
          <w:lang w:val="kk-KZ"/>
        </w:rPr>
      </w:pPr>
      <w:r>
        <w:rPr>
          <w:rStyle w:val="21"/>
          <w:rFonts w:ascii="Times New Roman" w:hAnsi="Times New Roman" w:cs="Times New Roman"/>
          <w:color w:val="202124"/>
          <w:lang w:val="kk-KZ"/>
        </w:rPr>
        <w:t>Емтихан форматы – онлайн.</w:t>
      </w:r>
    </w:p>
    <w:p>
      <w:pPr>
        <w:spacing w:after="0" w:line="240" w:lineRule="auto"/>
        <w:jc w:val="both"/>
        <w:rPr>
          <w:rFonts w:ascii="Times New Roman" w:hAnsi="Times New Roman" w:cs="Times New Roman"/>
          <w:sz w:val="20"/>
          <w:szCs w:val="20"/>
          <w:lang w:val="kk-KZ"/>
        </w:rPr>
      </w:pPr>
    </w:p>
    <w:p>
      <w:pPr>
        <w:pStyle w:val="8"/>
        <w:shd w:val="clear" w:color="auto" w:fill="FFFFFF" w:themeFill="background1"/>
        <w:jc w:val="both"/>
        <w:rPr>
          <w:rFonts w:ascii="Times New Roman" w:hAnsi="Times New Roman" w:cs="Times New Roman"/>
          <w:color w:val="202124"/>
          <w:lang w:val="kk-KZ"/>
        </w:rPr>
      </w:pPr>
      <w:r>
        <w:rPr>
          <w:rStyle w:val="21"/>
          <w:rFonts w:ascii="Times New Roman" w:hAnsi="Times New Roman" w:cs="Times New Roman"/>
          <w:color w:val="202124"/>
          <w:lang w:val="kk-KZ"/>
        </w:rPr>
        <w:t>Міндетті – басталуға 30 минут қалғанда студенттер емтиханды тапсыру жөніндегі нұсқаулықтың талаптарына сәйкес емтиханға дайындалуы керек. Студент жеке куәлігін ұсынады және сабаққа қатысу парағына қол қояды.</w:t>
      </w:r>
    </w:p>
    <w:p>
      <w:pPr>
        <w:pStyle w:val="8"/>
        <w:shd w:val="clear" w:color="auto" w:fill="FFFFFF" w:themeFill="background1"/>
        <w:jc w:val="both"/>
        <w:rPr>
          <w:rFonts w:ascii="Times New Roman" w:hAnsi="Times New Roman" w:cs="Times New Roman"/>
          <w:color w:val="202124"/>
          <w:lang w:val="kk-KZ"/>
        </w:rPr>
      </w:pPr>
      <w:r>
        <w:rPr>
          <w:rStyle w:val="21"/>
          <w:rFonts w:ascii="Times New Roman" w:hAnsi="Times New Roman" w:cs="Times New Roman"/>
          <w:color w:val="202124"/>
          <w:lang w:val="kk-KZ"/>
        </w:rPr>
        <w:t>IS Univer-те тексеру міндетті болады. Бейнекамера бүкіл оқушыны және пернетақтамен үстелді қамтуы керек. Оқушының жанында ешкім болмауы керек. Монитор экранында Univer IS жүйесіндегі бір ғана терезе ашық болуы керек. Қағаздарды, кітаптарды және басқа да мәтіндік құжаттарды және электронды құрылғыларды үстелдің жанына қоюға болмайды, оның ішінде құлаққапты студенттің құлағына қоюға болмайды. Прокторинг технологиясы (ағылшынша «proctor» - емтихан барысын бақылау). Прокторлар емтихан тапсырушылардың адал өтуі үшін емтихан барысын бақылайды: студенттер тапсырмаларды өз бетінше орындауы керек және қосымша материалдарды пайдаланбауы керек.</w:t>
      </w:r>
    </w:p>
    <w:p>
      <w:pPr>
        <w:pStyle w:val="8"/>
        <w:shd w:val="clear" w:color="auto" w:fill="FFFFFF" w:themeFill="background1"/>
        <w:jc w:val="both"/>
        <w:rPr>
          <w:rFonts w:ascii="Times New Roman" w:hAnsi="Times New Roman" w:cs="Times New Roman"/>
          <w:color w:val="202124"/>
          <w:lang w:val="kk-KZ"/>
        </w:rPr>
      </w:pPr>
      <w:r>
        <w:rPr>
          <w:rStyle w:val="21"/>
          <w:rFonts w:ascii="Times New Roman" w:hAnsi="Times New Roman" w:cs="Times New Roman"/>
          <w:color w:val="202124"/>
          <w:lang w:val="kk-KZ"/>
        </w:rPr>
        <w:t>Кезекші мұғалім пәннің жұмыс үстелін бақылайды. Сондай-ақ емтиханның бейнежазбасы жүргізіледі, одан кейін комиссия емтиханды қарап шығып, шынымен де бұзушылықтардың болған-болмағанын шеше алады. Емтиханның өту барысын тексеру емтихан аяқталғаннан кейін 3 ай ішінде жүргізілуі мүмкін. Емтихан нәтижелері тексеру нәтижелері бойынша қайта қаралуы мүмкін. Егер студент емтихан тапсыру ережелерін бұзса, нәтиже жойылады.</w:t>
      </w:r>
    </w:p>
    <w:p>
      <w:pPr>
        <w:shd w:val="clear" w:color="auto" w:fill="FFFFFF" w:themeFill="background1"/>
        <w:spacing w:after="0" w:line="240" w:lineRule="auto"/>
        <w:jc w:val="both"/>
        <w:rPr>
          <w:rFonts w:ascii="Times New Roman" w:hAnsi="Times New Roman" w:cs="Times New Roman"/>
          <w:sz w:val="20"/>
          <w:szCs w:val="20"/>
          <w:lang w:val="kk-KZ"/>
        </w:rPr>
      </w:pPr>
    </w:p>
    <w:p>
      <w:pPr>
        <w:pStyle w:val="8"/>
        <w:shd w:val="clear" w:color="auto" w:fill="FFFFFF" w:themeFill="background1"/>
        <w:rPr>
          <w:rFonts w:ascii="Times New Roman" w:hAnsi="Times New Roman" w:cs="Times New Roman"/>
          <w:color w:val="202124"/>
          <w:lang w:val="kk-KZ"/>
        </w:rPr>
      </w:pPr>
      <w:r>
        <w:rPr>
          <w:rStyle w:val="21"/>
          <w:rFonts w:ascii="Times New Roman" w:hAnsi="Times New Roman" w:cs="Times New Roman"/>
          <w:color w:val="202124"/>
          <w:lang w:val="kk-KZ"/>
        </w:rPr>
        <w:t>Емтиханның ұзақтығы – IS Univer-те – 40 сұраққа 90 минут.</w:t>
      </w:r>
    </w:p>
    <w:p>
      <w:pPr>
        <w:spacing w:after="0" w:line="240" w:lineRule="auto"/>
        <w:jc w:val="both"/>
        <w:rPr>
          <w:rFonts w:ascii="Times New Roman" w:hAnsi="Times New Roman" w:cs="Times New Roman"/>
          <w:b/>
          <w:color w:val="000000"/>
          <w:sz w:val="20"/>
          <w:szCs w:val="20"/>
          <w:lang w:val="kk-KZ"/>
        </w:rPr>
      </w:pPr>
    </w:p>
    <w:p>
      <w:pPr>
        <w:pStyle w:val="8"/>
        <w:shd w:val="clear" w:color="auto" w:fill="FFFFFF" w:themeFill="background1"/>
        <w:rPr>
          <w:rStyle w:val="21"/>
          <w:rFonts w:ascii="Times New Roman" w:hAnsi="Times New Roman" w:cs="Times New Roman"/>
          <w:color w:val="202124"/>
          <w:lang w:val="kk-KZ"/>
        </w:rPr>
      </w:pPr>
      <w:r>
        <w:rPr>
          <w:rStyle w:val="21"/>
          <w:rFonts w:ascii="Times New Roman" w:hAnsi="Times New Roman" w:cs="Times New Roman"/>
          <w:color w:val="202124"/>
          <w:lang w:val="kk-KZ"/>
        </w:rPr>
        <w:t>Ережелерді жүргізу.</w:t>
      </w:r>
    </w:p>
    <w:p>
      <w:pPr>
        <w:pStyle w:val="8"/>
        <w:shd w:val="clear" w:color="auto" w:fill="FFFFFF" w:themeFill="background1"/>
        <w:rPr>
          <w:rStyle w:val="21"/>
          <w:rFonts w:ascii="Times New Roman" w:hAnsi="Times New Roman" w:cs="Times New Roman"/>
          <w:color w:val="202124"/>
          <w:lang w:val="kk-KZ"/>
        </w:rPr>
      </w:pPr>
      <w:r>
        <w:rPr>
          <w:rStyle w:val="21"/>
          <w:rFonts w:ascii="Times New Roman" w:hAnsi="Times New Roman" w:cs="Times New Roman"/>
          <w:color w:val="202124"/>
          <w:lang w:val="kk-KZ"/>
        </w:rPr>
        <w:t>Емтихан студенттер мен оқытушыларға IS Univer бетінде алдын ала белгілі болуы керек деканаттың жұмыс кестесіне сәйкес өткізіледі.</w:t>
      </w:r>
    </w:p>
    <w:p>
      <w:pPr>
        <w:pStyle w:val="8"/>
        <w:shd w:val="clear" w:color="auto" w:fill="FFFFFF" w:themeFill="background1"/>
        <w:rPr>
          <w:rStyle w:val="21"/>
          <w:rFonts w:ascii="Times New Roman" w:hAnsi="Times New Roman" w:cs="Times New Roman"/>
          <w:color w:val="202124"/>
          <w:lang w:val="kk-KZ"/>
        </w:rPr>
      </w:pPr>
    </w:p>
    <w:p>
      <w:pPr>
        <w:pStyle w:val="8"/>
        <w:shd w:val="clear" w:color="auto" w:fill="FFFFFF" w:themeFill="background1"/>
        <w:rPr>
          <w:rStyle w:val="21"/>
          <w:rFonts w:ascii="Times New Roman" w:hAnsi="Times New Roman" w:cs="Times New Roman"/>
          <w:color w:val="202124"/>
          <w:lang w:val="kk-KZ"/>
        </w:rPr>
      </w:pPr>
      <w:r>
        <w:rPr>
          <w:rStyle w:val="21"/>
          <w:rFonts w:ascii="Times New Roman" w:hAnsi="Times New Roman" w:cs="Times New Roman"/>
          <w:color w:val="202124"/>
          <w:lang w:val="kk-KZ"/>
        </w:rPr>
        <w:t>Ұпайлар автоматты түрде емтихан парағына көшіріледі. Сақтау алдында мұғалім барлық оқушылардың ұпай жинағанын тексеруі керек. Белгіленген тізімді сақтаңыз.</w:t>
      </w:r>
    </w:p>
    <w:p>
      <w:pPr>
        <w:pStyle w:val="8"/>
        <w:shd w:val="clear" w:color="auto" w:fill="FFFFFF" w:themeFill="background1"/>
        <w:rPr>
          <w:rStyle w:val="21"/>
          <w:rFonts w:ascii="Times New Roman" w:hAnsi="Times New Roman" w:cs="Times New Roman"/>
          <w:color w:val="202124"/>
          <w:lang w:val="kk-KZ"/>
        </w:rPr>
      </w:pPr>
    </w:p>
    <w:p>
      <w:pPr>
        <w:pStyle w:val="8"/>
        <w:shd w:val="clear" w:color="auto" w:fill="FFFFFF" w:themeFill="background1"/>
        <w:rPr>
          <w:rFonts w:ascii="Times New Roman" w:hAnsi="Times New Roman" w:cs="Times New Roman"/>
          <w:b/>
          <w:color w:val="202124"/>
          <w:u w:val="single"/>
          <w:lang w:val="kk-KZ"/>
        </w:rPr>
      </w:pPr>
      <w:r>
        <w:rPr>
          <w:rStyle w:val="21"/>
          <w:rFonts w:ascii="Times New Roman" w:hAnsi="Times New Roman" w:cs="Times New Roman"/>
          <w:b/>
          <w:color w:val="202124"/>
          <w:u w:val="single"/>
          <w:lang w:val="kk-KZ"/>
        </w:rPr>
        <w:t>Сынақ нәтижелері тексеру нәтижелері бойынша қайта қаралуы мүмкін. Егер студент тестілеуді тапсыру ережелерін бұзса, оның нәтижесі жойылады.</w:t>
      </w:r>
    </w:p>
    <w:p>
      <w:pPr>
        <w:spacing w:after="0" w:line="240" w:lineRule="auto"/>
        <w:jc w:val="both"/>
        <w:rPr>
          <w:rFonts w:ascii="Times New Roman" w:hAnsi="Times New Roman" w:cs="Times New Roman"/>
          <w:b/>
          <w:sz w:val="20"/>
          <w:szCs w:val="20"/>
          <w:lang w:val="kk-KZ"/>
        </w:rPr>
      </w:pPr>
    </w:p>
    <w:p>
      <w:pPr>
        <w:pStyle w:val="7"/>
        <w:tabs>
          <w:tab w:val="left" w:pos="1002"/>
        </w:tabs>
        <w:spacing w:after="0" w:line="240" w:lineRule="auto"/>
        <w:ind w:left="0" w:firstLine="5"/>
        <w:rPr>
          <w:rFonts w:ascii="Times New Roman" w:hAnsi="Times New Roman" w:cs="Times New Roman"/>
          <w:sz w:val="20"/>
          <w:szCs w:val="20"/>
          <w:lang w:val="kk-KZ"/>
        </w:rPr>
      </w:pPr>
      <w:r>
        <w:rPr>
          <w:rFonts w:ascii="Times New Roman" w:hAnsi="Times New Roman" w:cs="Times New Roman"/>
          <w:sz w:val="20"/>
          <w:szCs w:val="20"/>
          <w:lang w:val="kk-KZ"/>
        </w:rPr>
        <w:t>Баға деңгейлері (%)</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 xml:space="preserve">А   95 – 100 </w:t>
      </w:r>
    </w:p>
    <w:p>
      <w:pPr>
        <w:pStyle w:val="7"/>
        <w:pBdr>
          <w:bottom w:val="single" w:color="auto" w:sz="12" w:space="1"/>
        </w:pBdr>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А   90 – 94  өте жақсы</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 xml:space="preserve">В+  85 – 89 </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В    80 – 84 жақсы</w:t>
      </w:r>
    </w:p>
    <w:p>
      <w:pPr>
        <w:pStyle w:val="7"/>
        <w:pBdr>
          <w:bottom w:val="single" w:color="auto" w:sz="12" w:space="1"/>
        </w:pBdr>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В -  75 – 79</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С + 70 – 74</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С    65 – 69 қанағаттанарлық</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С – 60 – 64</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Д + 55 – 59</w:t>
      </w:r>
    </w:p>
    <w:p>
      <w:pPr>
        <w:pStyle w:val="7"/>
        <w:pBdr>
          <w:bottom w:val="single" w:color="auto" w:sz="12" w:space="1"/>
        </w:pBdr>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Д    50 – 54</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F</w:t>
      </w:r>
      <w:r>
        <w:rPr>
          <w:rFonts w:ascii="Times New Roman" w:hAnsi="Times New Roman" w:cs="Times New Roman"/>
          <w:sz w:val="20"/>
          <w:szCs w:val="20"/>
        </w:rPr>
        <w:t xml:space="preserve">     0 – 49 қанағаттанарлықсыз</w:t>
      </w:r>
    </w:p>
    <w:p>
      <w:pPr>
        <w:spacing w:after="0" w:line="240" w:lineRule="auto"/>
        <w:rPr>
          <w:rFonts w:ascii="Times New Roman" w:hAnsi="Times New Roman" w:cs="Times New Roman"/>
          <w:sz w:val="20"/>
          <w:szCs w:val="20"/>
        </w:rPr>
      </w:pPr>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Емтихан тақырыптары.</w:t>
      </w:r>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1. Кіріспе. Қысқаша даму тарихы. Терминдер, ұғымдар.</w:t>
      </w:r>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2. Жалпы фармакокинетика. Дәрілік заттардың енгізілу, таралу, сіңірілу, метаболизмі, жинақталуы және шығарылу жолдары.</w:t>
      </w:r>
      <w:bookmarkStart w:id="0" w:name="_GoBack"/>
      <w:bookmarkEnd w:id="0"/>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3. Жалпы фармакодинамика. Негізгі терминдер. Дәрілік заттардың әсер ету механизмі. Биобелсенділік. Нашақорлық және тәуелділік. Дозалар және концентрация.</w:t>
      </w:r>
    </w:p>
    <w:p>
      <w:pPr>
        <w:pStyle w:val="8"/>
        <w:shd w:val="clear" w:color="auto" w:fill="FFFFFF" w:themeFill="background1"/>
        <w:ind w:left="-360"/>
        <w:jc w:val="both"/>
        <w:rPr>
          <w:rFonts w:ascii="Times New Roman" w:hAnsi="Times New Roman" w:cs="Times New Roman"/>
          <w:color w:val="202124"/>
          <w:lang w:val="kk-KZ"/>
        </w:rPr>
      </w:pPr>
      <w:r>
        <w:rPr>
          <w:rStyle w:val="21"/>
          <w:rFonts w:ascii="Times New Roman" w:hAnsi="Times New Roman" w:cs="Times New Roman"/>
          <w:color w:val="202124"/>
          <w:lang w:val="kk-KZ"/>
        </w:rPr>
        <w:t>4. Афферентті иннервацияға әсер ететін препараттар. Тәбетті жақсартатын дәрілер. Асқазанның секрециясын жақсартатын препараттар. Құсуға қарсы препараттар. Теріні тітіркендіретін дәрілер. Тәбетті жақсартатын дәрілер. Секрецияны жақсартатын препараттар.</w:t>
      </w:r>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6. Асқазан мен он екі елі ішектің ойық жаралы зақымдануын емдеуге арналған препараттар. Қаптау препараттары.</w:t>
      </w:r>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7. Орталық жүйке жүйесіне әсер ететін препараттар. Ұйықтататын дәрілер. Этанол. Жалпы анестетиктер. Опиоидты анальгетиктер. Седативті препараттар. Антипсихотикалық препараттар (транквилизаторлар). ноотропты препараттар.</w:t>
      </w:r>
    </w:p>
    <w:p>
      <w:pPr>
        <w:pStyle w:val="8"/>
        <w:shd w:val="clear" w:color="auto" w:fill="FFFFFF" w:themeFill="background1"/>
        <w:ind w:left="-360"/>
        <w:jc w:val="both"/>
        <w:rPr>
          <w:rFonts w:ascii="Times New Roman" w:hAnsi="Times New Roman" w:cs="Times New Roman"/>
          <w:color w:val="202124"/>
          <w:lang w:val="kk-KZ"/>
        </w:rPr>
      </w:pPr>
      <w:r>
        <w:rPr>
          <w:rStyle w:val="21"/>
          <w:rFonts w:ascii="Times New Roman" w:hAnsi="Times New Roman" w:cs="Times New Roman"/>
          <w:color w:val="202124"/>
          <w:lang w:val="kk-KZ"/>
        </w:rPr>
        <w:t>8. М-холинергиялық рецепторларға әсер ететін препараттар. М-холиномиметиктер. Негізгі қасиеттері, жанама әсерлері, артық дозалануы. М-антихолинергиялық заттар. Негізгі қасиеттері, жанама әсерлері, артық дозалануы.</w:t>
      </w:r>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9. Н-холинергиялық рецепторларға әсер ететін препараттар. N-холиномиметиктер. Негізгі қасиеттері, жанама әсерлері, артық дозалануы. N-антихолинергиялық заттар. Негізгі қасиеттері, жанама әсерлері, артық дозалануы. Антихолинэстераза препараттары. Негізгі қасиеттері, жанама әсерлері, артық дозалануы.</w:t>
      </w:r>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10. Адренорецепторларға әсер ететін препараттар. Адренопрепараттардың жалпы сипаттамасы. α -, β - адреномиметиктер. Адренорецепторларға әсер ететін препараттар. Адреноблокаторлар.</w:t>
      </w:r>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11. Аритмияға қарсы препараттар. Аритмияның даму механизмдері. Аритмияға қарсы препараттарды қолданудың клиникалық принциптері.</w:t>
      </w:r>
    </w:p>
    <w:p>
      <w:pPr>
        <w:pStyle w:val="8"/>
        <w:shd w:val="clear" w:color="auto" w:fill="FFFFFF" w:themeFill="background1"/>
        <w:ind w:left="-360"/>
        <w:jc w:val="both"/>
        <w:rPr>
          <w:rStyle w:val="21"/>
          <w:rFonts w:ascii="Times New Roman" w:hAnsi="Times New Roman" w:cs="Times New Roman"/>
          <w:color w:val="202124"/>
          <w:lang w:val="kk-KZ"/>
        </w:rPr>
      </w:pPr>
      <w:r>
        <w:rPr>
          <w:rStyle w:val="21"/>
          <w:rFonts w:ascii="Times New Roman" w:hAnsi="Times New Roman" w:cs="Times New Roman"/>
          <w:color w:val="202124"/>
          <w:lang w:val="kk-KZ"/>
        </w:rPr>
        <w:t>12. Антибиотиктер және сульфаниламидтер.</w:t>
      </w:r>
    </w:p>
    <w:p>
      <w:pPr>
        <w:pStyle w:val="8"/>
        <w:shd w:val="clear" w:color="auto" w:fill="FFFFFF" w:themeFill="background1"/>
        <w:ind w:left="-360"/>
        <w:jc w:val="both"/>
        <w:rPr>
          <w:rFonts w:ascii="Times New Roman" w:hAnsi="Times New Roman" w:cs="Times New Roman"/>
          <w:color w:val="202124"/>
        </w:rPr>
      </w:pPr>
      <w:r>
        <w:rPr>
          <w:rStyle w:val="21"/>
          <w:rFonts w:ascii="Times New Roman" w:hAnsi="Times New Roman" w:cs="Times New Roman"/>
          <w:color w:val="202124"/>
          <w:lang w:val="kk-KZ"/>
        </w:rPr>
        <w:t>13. Гормоналды препараттар.</w:t>
      </w:r>
    </w:p>
    <w:p>
      <w:pPr>
        <w:pStyle w:val="8"/>
        <w:shd w:val="clear" w:color="auto" w:fill="FFFFFF" w:themeFill="background1"/>
        <w:rPr>
          <w:rStyle w:val="21"/>
          <w:rFonts w:ascii="Times New Roman" w:hAnsi="Times New Roman" w:cs="Times New Roman"/>
          <w:color w:val="202124"/>
          <w:lang w:val="kk-KZ"/>
        </w:rPr>
      </w:pPr>
    </w:p>
    <w:p>
      <w:pPr>
        <w:pStyle w:val="8"/>
        <w:shd w:val="clear" w:color="auto" w:fill="FFFFFF" w:themeFill="background1"/>
        <w:rPr>
          <w:rFonts w:ascii="Times New Roman" w:hAnsi="Times New Roman" w:cs="Times New Roman"/>
          <w:color w:val="202124"/>
        </w:rPr>
      </w:pPr>
      <w:r>
        <w:rPr>
          <w:rStyle w:val="21"/>
          <w:rFonts w:ascii="Times New Roman" w:hAnsi="Times New Roman" w:cs="Times New Roman"/>
          <w:color w:val="202124"/>
          <w:lang w:val="kk-KZ"/>
        </w:rPr>
        <w:t>Әдеби дереккөздер:</w:t>
      </w:r>
    </w:p>
    <w:p>
      <w:pPr>
        <w:pStyle w:val="7"/>
        <w:spacing w:after="0" w:line="240" w:lineRule="auto"/>
        <w:ind w:left="0"/>
        <w:rPr>
          <w:rFonts w:ascii="Times New Roman" w:hAnsi="Times New Roman" w:cs="Times New Roman"/>
          <w:sz w:val="20"/>
          <w:szCs w:val="20"/>
          <w:lang w:val="kk-KZ"/>
        </w:rPr>
      </w:pPr>
    </w:p>
    <w:p>
      <w:pPr>
        <w:pStyle w:val="7"/>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kk-KZ" w:eastAsia="zh-CN"/>
        </w:rPr>
        <w:t>1</w:t>
      </w:r>
      <w:r>
        <w:rPr>
          <w:rFonts w:hint="default" w:ascii="Times New Roman" w:hAnsi="Times New Roman" w:cs="Times New Roman"/>
          <w:sz w:val="20"/>
          <w:szCs w:val="20"/>
          <w:lang w:val="en-US" w:eastAsia="zh-CN"/>
        </w:rPr>
        <w:t>. Абдиханова, А. А. Фармакология негіздері. — Алматы: ҚазҰМУ баспасы, 2020. — 320 б.</w:t>
      </w:r>
    </w:p>
    <w:p>
      <w:pPr>
        <w:pStyle w:val="7"/>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 Құлмағанбетова, А. Қ. Дәрілік өсімдіктер және фитотерапия негіздері. — Алматы: «Ғылым», 2019. — 280 б.</w:t>
      </w:r>
    </w:p>
    <w:p>
      <w:pPr>
        <w:pStyle w:val="7"/>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 Rang, H. P., Dale, M. M., Ritter, J. M., Flower, R. J. Rang &amp; Dale’s Pharmacology. — Elsevier, 2020. — 720 p.</w:t>
      </w:r>
    </w:p>
    <w:p>
      <w:pPr>
        <w:pStyle w:val="7"/>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 WHO Monographs on Selected Medicinal Plants. World Health Organization, 2019.</w:t>
      </w:r>
    </w:p>
    <w:p>
      <w:pPr>
        <w:pStyle w:val="7"/>
        <w:spacing w:after="0" w:line="240" w:lineRule="auto"/>
        <w:ind w:left="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 Казахская фармакология. Под ред. Е. И. Абдрахманова. — Астана, 2017. — 400 с.</w:t>
      </w:r>
    </w:p>
    <w:p>
      <w:pPr>
        <w:keepNext w:val="0"/>
        <w:keepLines w:val="0"/>
        <w:widowControl/>
        <w:suppressLineNumbers w:val="0"/>
        <w:jc w:val="left"/>
        <w:rPr>
          <w:rFonts w:ascii="Times New Roman" w:hAnsi="Times New Roman" w:cs="Times New Roman"/>
          <w:sz w:val="20"/>
          <w:szCs w:val="20"/>
          <w:lang w:val="kk-KZ"/>
        </w:rPr>
      </w:pPr>
      <w:r>
        <w:rPr>
          <w:rFonts w:ascii="Times New Roman" w:hAnsi="Times New Roman" w:cs="Times New Roman"/>
          <w:sz w:val="20"/>
          <w:szCs w:val="20"/>
          <w:lang w:val="kk-KZ"/>
        </w:rPr>
        <w:t>6.</w:t>
      </w:r>
      <w:r>
        <w:rPr>
          <w:rFonts w:hint="default" w:ascii="Times New Roman Regular" w:hAnsi="Times New Roman Regular" w:eastAsia="SimSun" w:cs="Times New Roman Regular"/>
          <w:kern w:val="0"/>
          <w:sz w:val="20"/>
          <w:szCs w:val="20"/>
          <w:highlight w:val="none"/>
          <w:lang w:val="en-US" w:eastAsia="zh-CN" w:bidi="ar"/>
        </w:rPr>
        <w:t>Бейсенова, Ж. Ж., Қарабаев, Т. Ж. Фитотерапияның заманауи әдістері. — Алматы, 2018. — 150 б.</w:t>
      </w:r>
    </w:p>
    <w:p>
      <w:pPr>
        <w:autoSpaceDE w:val="0"/>
        <w:autoSpaceDN w:val="0"/>
        <w:adjustRightInd w:val="0"/>
        <w:spacing w:after="0" w:line="240" w:lineRule="auto"/>
        <w:rPr>
          <w:rFonts w:ascii="Times New Roman" w:hAnsi="Times New Roman" w:eastAsia="Cambria" w:cs="Times New Roman"/>
          <w:color w:val="000000"/>
          <w:sz w:val="20"/>
          <w:szCs w:val="20"/>
          <w:u w:val="single"/>
          <w:lang w:val="kk-KZ"/>
        </w:rPr>
      </w:pPr>
      <w:r>
        <w:rPr>
          <w:rFonts w:ascii="Times New Roman" w:hAnsi="Times New Roman" w:eastAsia="Cambria" w:cs="Times New Roman"/>
          <w:color w:val="000000"/>
          <w:sz w:val="20"/>
          <w:szCs w:val="20"/>
          <w:u w:val="single"/>
          <w:lang w:val="kk-KZ"/>
        </w:rPr>
        <w:t>Ғаламтор ресурстары:</w:t>
      </w:r>
    </w:p>
    <w:p>
      <w:pPr>
        <w:keepNext w:val="0"/>
        <w:keepLines w:val="0"/>
        <w:widowControl/>
        <w:numPr>
          <w:ilvl w:val="0"/>
          <w:numId w:val="1"/>
        </w:numPr>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fldChar w:fldCharType="begin"/>
      </w:r>
      <w:r>
        <w:rPr>
          <w:rFonts w:hint="default" w:ascii="Times New Roman Regular" w:hAnsi="Times New Roman Regular" w:eastAsia="SimSun" w:cs="Times New Roman Regular"/>
          <w:kern w:val="0"/>
          <w:sz w:val="20"/>
          <w:szCs w:val="20"/>
          <w:highlight w:val="none"/>
          <w:lang w:val="en-US" w:eastAsia="zh-CN" w:bidi="ar"/>
        </w:rPr>
        <w:instrText xml:space="preserve"> HYPERLINK "https://www.who.int/medicines/publications/pharmacopoeia/en/" \t "/Users/saya/Documents\\x/_new" </w:instrText>
      </w:r>
      <w:r>
        <w:rPr>
          <w:rFonts w:hint="default" w:ascii="Times New Roman Regular" w:hAnsi="Times New Roman Regular" w:eastAsia="SimSun" w:cs="Times New Roman Regular"/>
          <w:kern w:val="0"/>
          <w:sz w:val="20"/>
          <w:szCs w:val="20"/>
          <w:highlight w:val="none"/>
          <w:lang w:val="en-US" w:eastAsia="zh-CN" w:bidi="ar"/>
        </w:rPr>
        <w:fldChar w:fldCharType="separate"/>
      </w:r>
      <w:r>
        <w:rPr>
          <w:rStyle w:val="10"/>
          <w:rFonts w:hint="default" w:ascii="Times New Roman Regular" w:hAnsi="Times New Roman Regular" w:eastAsia="SimSun" w:cs="Times New Roman Regular"/>
          <w:sz w:val="20"/>
          <w:szCs w:val="20"/>
          <w:highlight w:val="none"/>
        </w:rPr>
        <w:t>https://www.who.int/medicines/publications/pharmacopoeia/en/</w:t>
      </w:r>
      <w:r>
        <w:rPr>
          <w:rFonts w:hint="default" w:ascii="Times New Roman Regular" w:hAnsi="Times New Roman Regular" w:eastAsia="SimSun" w:cs="Times New Roman Regular"/>
          <w:kern w:val="0"/>
          <w:sz w:val="20"/>
          <w:szCs w:val="20"/>
          <w:highlight w:val="none"/>
          <w:lang w:val="en-US" w:eastAsia="zh-CN" w:bidi="ar"/>
        </w:rPr>
        <w:fldChar w:fldCharType="end"/>
      </w:r>
    </w:p>
    <w:p>
      <w:pPr>
        <w:keepNext w:val="0"/>
        <w:keepLines w:val="0"/>
        <w:widowControl/>
        <w:numPr>
          <w:ilvl w:val="0"/>
          <w:numId w:val="1"/>
        </w:numPr>
        <w:suppressLineNumbers w:val="0"/>
        <w:jc w:val="left"/>
        <w:rPr>
          <w:rFonts w:ascii="Times New Roman" w:hAnsi="Times New Roman" w:cs="Times New Roman"/>
          <w:sz w:val="24"/>
          <w:szCs w:val="24"/>
        </w:rPr>
      </w:pPr>
      <w:r>
        <w:rPr>
          <w:rFonts w:hint="default" w:ascii="Times New Roman Regular" w:hAnsi="Times New Roman Regular" w:eastAsia="SimSun" w:cs="Times New Roman Regular"/>
          <w:kern w:val="0"/>
          <w:sz w:val="20"/>
          <w:szCs w:val="20"/>
          <w:highlight w:val="none"/>
          <w:lang w:val="en-US" w:eastAsia="zh-CN" w:bidi="ar"/>
        </w:rPr>
        <w:t>http://adilet.zan.kz/</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3.</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https://www.sciencedirect.com/</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4.</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https://pubmed.ncbi.nlm.nih.gov/</w:t>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Calibri">
    <w:altName w:val="Helvetica Neue"/>
    <w:panose1 w:val="020F0502020204030204"/>
    <w:charset w:val="CC"/>
    <w:family w:val="swiss"/>
    <w:pitch w:val="default"/>
    <w:sig w:usb0="00000000" w:usb1="00000000" w:usb2="00000009" w:usb3="00000000" w:csb0="000001FF" w:csb1="00000000"/>
  </w:font>
  <w:font w:name="Calibri Light">
    <w:altName w:val="Helvetica Neue"/>
    <w:panose1 w:val="020F0302020204030204"/>
    <w:charset w:val="CC"/>
    <w:family w:val="swiss"/>
    <w:pitch w:val="default"/>
    <w:sig w:usb0="00000000" w:usb1="00000000" w:usb2="00000009" w:usb3="00000000" w:csb0="000001FF" w:csb1="00000000"/>
  </w:font>
  <w:font w:name="Segoe UI">
    <w:altName w:val="Helvetica Neue"/>
    <w:panose1 w:val="020B0502040204020203"/>
    <w:charset w:val="CC"/>
    <w:family w:val="swiss"/>
    <w:pitch w:val="default"/>
    <w:sig w:usb0="00000000" w:usb1="00000000" w:usb2="00000029" w:usb3="00000000" w:csb0="000001DF" w:csb1="00000000"/>
  </w:font>
  <w:font w:name="Cambria">
    <w:altName w:val="Helvetica Neue"/>
    <w:panose1 w:val="02040503050406030204"/>
    <w:charset w:val="CC"/>
    <w:family w:val="roman"/>
    <w:pitch w:val="default"/>
    <w:sig w:usb0="00000000" w:usb1="00000000" w:usb2="02000000" w:usb3="00000000" w:csb0="0000019F" w:csb1="00000000"/>
  </w:font>
  <w:font w:name="tahoma">
    <w:panose1 w:val="020B0604030504040204"/>
    <w:charset w:val="00"/>
    <w:family w:val="auto"/>
    <w:pitch w:val="default"/>
    <w:sig w:usb0="E1002AFF" w:usb1="C000605B" w:usb2="00000029" w:usb3="00000000" w:csb0="200101FF" w:csb1="20280000"/>
  </w:font>
  <w:font w:name="Calibri Light">
    <w:altName w:val="Helvetica Neue"/>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0"/>
    <w:family w:val="swiss"/>
    <w:pitch w:val="default"/>
    <w:sig w:usb0="FFFFFFFF" w:usb1="E9FFFFFF" w:usb2="0000003F" w:usb3="00000000" w:csb0="603F01FF" w:csb1="FFFF0000"/>
  </w:font>
  <w:font w:name="Times New Roman Bold">
    <w:panose1 w:val="02020503050405090304"/>
    <w:charset w:val="00"/>
    <w:family w:val="auto"/>
    <w:pitch w:val="default"/>
    <w:sig w:usb0="E0000AFF" w:usb1="00007843" w:usb2="00000001" w:usb3="00000000" w:csb0="400001BF" w:csb1="DFF7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mn-ea">
    <w:altName w:val="苹方-简"/>
    <w:panose1 w:val="00000000000000000000"/>
    <w:charset w:val="00"/>
    <w:family w:val="roman"/>
    <w:pitch w:val="default"/>
    <w:sig w:usb0="00000000" w:usb1="00000000" w:usb2="00000000" w:usb3="00000000" w:csb0="00000000" w:csb1="0000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SchoolBook">
    <w:altName w:val="苹方-简"/>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8057C"/>
    <w:multiLevelType w:val="singleLevel"/>
    <w:tmpl w:val="68C805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891ECA"/>
    <w:rsid w:val="00142699"/>
    <w:rsid w:val="00164969"/>
    <w:rsid w:val="00215775"/>
    <w:rsid w:val="002D54E4"/>
    <w:rsid w:val="0073600A"/>
    <w:rsid w:val="007C0875"/>
    <w:rsid w:val="00891ECA"/>
    <w:rsid w:val="00A1057D"/>
    <w:rsid w:val="00A25045"/>
    <w:rsid w:val="00AB5553"/>
    <w:rsid w:val="00B50A2F"/>
    <w:rsid w:val="00DB457E"/>
    <w:rsid w:val="00DC154F"/>
    <w:rsid w:val="00E41CFD"/>
    <w:rsid w:val="1DD8C07C"/>
    <w:rsid w:val="F97F6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paragraph" w:styleId="3">
    <w:name w:val="heading 3"/>
    <w:basedOn w:val="1"/>
    <w:next w:val="1"/>
    <w:link w:val="14"/>
    <w:unhideWhenUsed/>
    <w:qFormat/>
    <w:uiPriority w:val="9"/>
    <w:pPr>
      <w:keepNext/>
      <w:keepLines/>
      <w:spacing w:before="200" w:after="0"/>
      <w:outlineLvl w:val="2"/>
    </w:pPr>
    <w:rPr>
      <w:rFonts w:asciiTheme="majorHAnsi" w:hAnsiTheme="majorHAnsi" w:eastAsiaTheme="majorEastAsia" w:cstheme="majorBidi"/>
      <w:b/>
      <w:bCs/>
      <w:color w:val="5B9BD5" w:themeColor="accent1"/>
    </w:rPr>
  </w:style>
  <w:style w:type="paragraph" w:styleId="4">
    <w:name w:val="heading 7"/>
    <w:basedOn w:val="1"/>
    <w:next w:val="1"/>
    <w:link w:val="15"/>
    <w:unhideWhenUsed/>
    <w:qFormat/>
    <w:uiPriority w:val="0"/>
    <w:pPr>
      <w:spacing w:before="240" w:after="60" w:line="240" w:lineRule="auto"/>
      <w:outlineLvl w:val="6"/>
    </w:pPr>
    <w:rPr>
      <w:rFonts w:ascii="Times New Roman" w:hAnsi="Times New Roman" w:eastAsia="Times New Roman" w:cs="Times New Roman"/>
      <w:sz w:val="24"/>
      <w:szCs w:val="24"/>
      <w:lang w:eastAsia="ru-RU"/>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Balloon Text"/>
    <w:basedOn w:val="1"/>
    <w:link w:val="22"/>
    <w:unhideWhenUsed/>
    <w:qFormat/>
    <w:uiPriority w:val="99"/>
    <w:pPr>
      <w:spacing w:after="0" w:line="240" w:lineRule="auto"/>
    </w:pPr>
    <w:rPr>
      <w:rFonts w:ascii="Segoe UI" w:hAnsi="Segoe UI" w:cs="Segoe UI"/>
      <w:sz w:val="18"/>
      <w:szCs w:val="18"/>
    </w:rPr>
  </w:style>
  <w:style w:type="paragraph" w:styleId="6">
    <w:name w:val="Body Text Indent"/>
    <w:basedOn w:val="1"/>
    <w:link w:val="16"/>
    <w:unhideWhenUsed/>
    <w:qFormat/>
    <w:uiPriority w:val="0"/>
    <w:pPr>
      <w:spacing w:after="120" w:line="240" w:lineRule="auto"/>
      <w:ind w:left="283"/>
    </w:pPr>
    <w:rPr>
      <w:rFonts w:ascii="Times New Roman" w:hAnsi="Times New Roman" w:eastAsia="Calibri" w:cs="Times New Roman"/>
      <w:sz w:val="24"/>
      <w:szCs w:val="24"/>
      <w:lang w:eastAsia="ru-RU"/>
    </w:rPr>
  </w:style>
  <w:style w:type="paragraph" w:styleId="7">
    <w:name w:val="Body Text Indent 2"/>
    <w:basedOn w:val="1"/>
    <w:link w:val="19"/>
    <w:unhideWhenUsed/>
    <w:qFormat/>
    <w:uiPriority w:val="99"/>
    <w:pPr>
      <w:spacing w:after="120" w:line="480" w:lineRule="auto"/>
      <w:ind w:left="283"/>
    </w:pPr>
  </w:style>
  <w:style w:type="paragraph" w:styleId="8">
    <w:name w:val="HTML Preformatted"/>
    <w:basedOn w:val="1"/>
    <w:link w:val="2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styleId="10">
    <w:name w:val="Hyperlink"/>
    <w:qFormat/>
    <w:uiPriority w:val="99"/>
    <w:rPr>
      <w:rFonts w:cs="Times New Roman"/>
      <w:color w:val="auto"/>
      <w:u w:val="none"/>
    </w:rPr>
  </w:style>
  <w:style w:type="table" w:styleId="12">
    <w:name w:val="Table Grid"/>
    <w:basedOn w:val="11"/>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Заголовок 1 Знак"/>
    <w:basedOn w:val="9"/>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4">
    <w:name w:val="Заголовок 3 Знак"/>
    <w:basedOn w:val="9"/>
    <w:link w:val="3"/>
    <w:semiHidden/>
    <w:qFormat/>
    <w:uiPriority w:val="9"/>
    <w:rPr>
      <w:rFonts w:asciiTheme="majorHAnsi" w:hAnsiTheme="majorHAnsi" w:eastAsiaTheme="majorEastAsia" w:cstheme="majorBidi"/>
      <w:b/>
      <w:bCs/>
      <w:color w:val="5B9BD5" w:themeColor="accent1"/>
    </w:rPr>
  </w:style>
  <w:style w:type="character" w:customStyle="1" w:styleId="15">
    <w:name w:val="Заголовок 7 Знак"/>
    <w:basedOn w:val="9"/>
    <w:link w:val="4"/>
    <w:semiHidden/>
    <w:qFormat/>
    <w:uiPriority w:val="0"/>
    <w:rPr>
      <w:rFonts w:ascii="Times New Roman" w:hAnsi="Times New Roman" w:eastAsia="Times New Roman" w:cs="Times New Roman"/>
      <w:sz w:val="24"/>
      <w:szCs w:val="24"/>
      <w:lang w:eastAsia="ru-RU"/>
    </w:rPr>
  </w:style>
  <w:style w:type="character" w:customStyle="1" w:styleId="16">
    <w:name w:val="Основной текст с отступом Знак"/>
    <w:basedOn w:val="9"/>
    <w:link w:val="6"/>
    <w:semiHidden/>
    <w:qFormat/>
    <w:uiPriority w:val="0"/>
    <w:rPr>
      <w:rFonts w:ascii="Times New Roman" w:hAnsi="Times New Roman" w:eastAsia="Calibri" w:cs="Times New Roman"/>
      <w:sz w:val="24"/>
      <w:szCs w:val="24"/>
      <w:lang w:eastAsia="ru-RU"/>
    </w:rPr>
  </w:style>
  <w:style w:type="character" w:customStyle="1" w:styleId="17">
    <w:name w:val="Абзац списка Знак"/>
    <w:link w:val="18"/>
    <w:qFormat/>
    <w:locked/>
    <w:uiPriority w:val="34"/>
    <w:rPr>
      <w:rFonts w:ascii="Calibri" w:hAnsi="Calibri" w:eastAsia="Calibri" w:cs="Times New Roman"/>
    </w:rPr>
  </w:style>
  <w:style w:type="paragraph" w:customStyle="1" w:styleId="18">
    <w:name w:val="List Paragraph"/>
    <w:basedOn w:val="1"/>
    <w:link w:val="17"/>
    <w:qFormat/>
    <w:uiPriority w:val="34"/>
    <w:pPr>
      <w:ind w:left="720"/>
      <w:contextualSpacing/>
    </w:pPr>
    <w:rPr>
      <w:rFonts w:ascii="Calibri" w:hAnsi="Calibri" w:eastAsia="Calibri" w:cs="Times New Roman"/>
    </w:rPr>
  </w:style>
  <w:style w:type="character" w:customStyle="1" w:styleId="19">
    <w:name w:val="Основной текст с отступом 2 Знак"/>
    <w:basedOn w:val="9"/>
    <w:link w:val="7"/>
    <w:semiHidden/>
    <w:qFormat/>
    <w:uiPriority w:val="99"/>
  </w:style>
  <w:style w:type="character" w:customStyle="1" w:styleId="20">
    <w:name w:val="Стандартный HTML Знак"/>
    <w:basedOn w:val="9"/>
    <w:link w:val="8"/>
    <w:semiHidden/>
    <w:qFormat/>
    <w:uiPriority w:val="99"/>
    <w:rPr>
      <w:rFonts w:ascii="Courier New" w:hAnsi="Courier New" w:eastAsia="Times New Roman" w:cs="Courier New"/>
      <w:sz w:val="20"/>
      <w:szCs w:val="20"/>
      <w:lang w:eastAsia="ru-RU"/>
    </w:rPr>
  </w:style>
  <w:style w:type="character" w:customStyle="1" w:styleId="21">
    <w:name w:val="y2iqfc"/>
    <w:basedOn w:val="9"/>
    <w:qFormat/>
    <w:uiPriority w:val="0"/>
  </w:style>
  <w:style w:type="character" w:customStyle="1" w:styleId="22">
    <w:name w:val="Текст выноски Знак"/>
    <w:basedOn w:val="9"/>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846</Words>
  <Characters>4828</Characters>
  <Lines>40</Lines>
  <Paragraphs>11</Paragraphs>
  <ScaleCrop>false</ScaleCrop>
  <LinksUpToDate>false</LinksUpToDate>
  <CharactersWithSpaces>5663</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2022-10-10T18:33:00Z</dcterms:created>
  <dc:creator>Бактыбаева Ляйля</dc:creator>
  <cp:lastModifiedBy>saya</cp:lastModifiedBy>
  <cp:lastPrinted>2022-10-12T20:55:00Z</cp:lastPrinted>
  <dcterms:modified xsi:type="dcterms:W3CDTF">2025-09-15T16:34:56Z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